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6EA24143" w:rsidR="00E1002B" w:rsidRPr="00804E0C" w:rsidRDefault="00FE6799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7am or after 6</w:t>
            </w:r>
            <w:r w:rsidR="00E1002B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0FC20AB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Tenant is responsible for supervising move </w:t>
            </w:r>
            <w:r w:rsidR="002263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providing suite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66C6DDA5" w14:textId="58C46537" w:rsidR="00E1002B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  <w:p w14:paraId="016BC5FA" w14:textId="77777777" w:rsidR="002263FB" w:rsidRDefault="002263FB" w:rsidP="002263FB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EB86BCF" w14:textId="7B8927BC" w:rsidR="003B1B53" w:rsidRPr="003B1B53" w:rsidRDefault="003B1B53" w:rsidP="003B1B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424242"/>
                <w:sz w:val="24"/>
                <w:szCs w:val="24"/>
              </w:rPr>
            </w:pPr>
            <w:r w:rsidRPr="003B1B53">
              <w:rPr>
                <w:rFonts w:ascii="Calibri" w:hAnsi="Calibri" w:cs="Calibri"/>
                <w:sz w:val="24"/>
                <w:szCs w:val="24"/>
              </w:rPr>
              <w:t>If additional</w:t>
            </w:r>
            <w:r w:rsidRPr="003B1B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B1B53">
              <w:rPr>
                <w:rFonts w:ascii="Calibri" w:hAnsi="Calibri" w:cs="Calibri"/>
                <w:sz w:val="24"/>
                <w:szCs w:val="24"/>
              </w:rPr>
              <w:t>elevators are need</w:t>
            </w:r>
            <w:r w:rsidR="00BF32F1">
              <w:rPr>
                <w:rFonts w:ascii="Calibri" w:hAnsi="Calibri" w:cs="Calibri"/>
                <w:sz w:val="24"/>
                <w:szCs w:val="24"/>
              </w:rPr>
              <w:t>ed for a move, arrangements may</w:t>
            </w:r>
            <w:r w:rsidRPr="003B1B53">
              <w:rPr>
                <w:rFonts w:ascii="Calibri" w:hAnsi="Calibri" w:cs="Calibri"/>
                <w:sz w:val="24"/>
                <w:szCs w:val="24"/>
              </w:rPr>
              <w:t xml:space="preserve"> be made to have passenger elevators padded.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041870C4" w14:textId="21E984C2" w:rsidR="00E1002B" w:rsidRPr="0033500E" w:rsidRDefault="00165D46" w:rsidP="0033500E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3350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33500E" w:rsidRPr="0033500E">
              <w:rPr>
                <w:sz w:val="24"/>
                <w:szCs w:val="24"/>
              </w:rPr>
              <w:t>For any trucks larger than 50 feet</w:t>
            </w:r>
            <w:r w:rsidR="002263FB">
              <w:rPr>
                <w:sz w:val="24"/>
                <w:szCs w:val="24"/>
              </w:rPr>
              <w:t>,</w:t>
            </w:r>
            <w:r w:rsidR="0033500E" w:rsidRPr="0033500E">
              <w:rPr>
                <w:sz w:val="24"/>
                <w:szCs w:val="24"/>
              </w:rPr>
              <w:t xml:space="preserve"> a </w:t>
            </w:r>
            <w:r w:rsidR="00686327" w:rsidRPr="0033500E">
              <w:rPr>
                <w:sz w:val="24"/>
                <w:szCs w:val="24"/>
              </w:rPr>
              <w:t>Security Guard will need to be hired for the duration of the move to monitor the loading dock entrance while the gate is held open</w:t>
            </w:r>
            <w:r w:rsidR="0033500E" w:rsidRPr="0033500E">
              <w:rPr>
                <w:sz w:val="24"/>
                <w:szCs w:val="24"/>
              </w:rPr>
              <w:t>,</w:t>
            </w:r>
            <w:r w:rsidR="00686327" w:rsidRPr="0033500E">
              <w:rPr>
                <w:sz w:val="24"/>
                <w:szCs w:val="24"/>
              </w:rPr>
              <w:t xml:space="preserve"> at the expense of the Tenant.</w:t>
            </w:r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6F8BF8FE" w14:textId="77777777" w:rsidR="0033500E" w:rsidRPr="0033500E" w:rsidRDefault="0033500E" w:rsidP="0033500E">
            <w:pPr>
              <w:pStyle w:val="Default"/>
              <w:ind w:left="720"/>
              <w:rPr>
                <w:color w:val="auto"/>
              </w:rPr>
            </w:pPr>
          </w:p>
          <w:p w14:paraId="4369C179" w14:textId="4F9057FA" w:rsidR="00686327" w:rsidRPr="0033500E" w:rsidRDefault="00E1002B" w:rsidP="0033500E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7B617A">
              <w:rPr>
                <w:rFonts w:eastAsia="Times New Roman"/>
                <w:color w:val="auto"/>
              </w:rPr>
              <w:t xml:space="preserve">Elevator Information: </w:t>
            </w:r>
          </w:p>
          <w:p w14:paraId="0E03D1FA" w14:textId="3F643C6C" w:rsidR="007B617A" w:rsidRPr="007B617A" w:rsidRDefault="0033500E" w:rsidP="007B617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     </w:t>
            </w:r>
            <w:r w:rsidR="007B617A" w:rsidRPr="007B617A">
              <w:rPr>
                <w:color w:val="auto"/>
                <w:sz w:val="23"/>
                <w:szCs w:val="23"/>
              </w:rPr>
              <w:t xml:space="preserve">Maximum Weight:                         3,500 lbs. </w:t>
            </w:r>
          </w:p>
          <w:p w14:paraId="439B2442" w14:textId="16031CC5" w:rsidR="007B617A" w:rsidRPr="007B617A" w:rsidRDefault="007B617A" w:rsidP="007B617A">
            <w:pPr>
              <w:pStyle w:val="Default"/>
              <w:rPr>
                <w:color w:val="auto"/>
                <w:sz w:val="23"/>
                <w:szCs w:val="23"/>
              </w:rPr>
            </w:pPr>
            <w:r w:rsidRPr="007B617A">
              <w:rPr>
                <w:color w:val="auto"/>
                <w:sz w:val="23"/>
                <w:szCs w:val="23"/>
              </w:rPr>
              <w:t xml:space="preserve">                                                          </w:t>
            </w:r>
            <w:r w:rsidR="0033500E">
              <w:rPr>
                <w:color w:val="auto"/>
                <w:sz w:val="23"/>
                <w:szCs w:val="23"/>
              </w:rPr>
              <w:t xml:space="preserve">       </w:t>
            </w:r>
            <w:r w:rsidRPr="007B617A">
              <w:rPr>
                <w:color w:val="auto"/>
                <w:sz w:val="23"/>
                <w:szCs w:val="23"/>
              </w:rPr>
              <w:t xml:space="preserve">10,000 lbs. (Service Car) </w:t>
            </w:r>
          </w:p>
          <w:p w14:paraId="31CAD9E9" w14:textId="6073CABC" w:rsidR="007B617A" w:rsidRPr="007B617A" w:rsidRDefault="0033500E" w:rsidP="007B617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     </w:t>
            </w:r>
            <w:r w:rsidR="007B617A" w:rsidRPr="007B617A">
              <w:rPr>
                <w:color w:val="auto"/>
                <w:sz w:val="23"/>
                <w:szCs w:val="23"/>
              </w:rPr>
              <w:t xml:space="preserve">Cab Measurements:                      80.5” wide x 64” deep x 88” high </w:t>
            </w:r>
          </w:p>
          <w:p w14:paraId="4E1682A1" w14:textId="5E706A9C" w:rsidR="007B617A" w:rsidRPr="007B617A" w:rsidRDefault="0033500E" w:rsidP="007B617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     </w:t>
            </w:r>
            <w:r w:rsidR="007B617A" w:rsidRPr="007B617A">
              <w:rPr>
                <w:color w:val="auto"/>
                <w:sz w:val="23"/>
                <w:szCs w:val="23"/>
              </w:rPr>
              <w:t xml:space="preserve">Door Opening Measurements:    53” (Basement) </w:t>
            </w:r>
          </w:p>
          <w:p w14:paraId="05B9544D" w14:textId="4E42C39C" w:rsidR="007B617A" w:rsidRPr="007B617A" w:rsidRDefault="007B617A" w:rsidP="007B617A">
            <w:pPr>
              <w:pStyle w:val="Default"/>
              <w:rPr>
                <w:color w:val="auto"/>
                <w:sz w:val="23"/>
                <w:szCs w:val="23"/>
              </w:rPr>
            </w:pPr>
            <w:r w:rsidRPr="007B617A">
              <w:rPr>
                <w:color w:val="auto"/>
                <w:sz w:val="23"/>
                <w:szCs w:val="23"/>
              </w:rPr>
              <w:t xml:space="preserve">                                                          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="0033500E">
              <w:rPr>
                <w:color w:val="auto"/>
                <w:sz w:val="23"/>
                <w:szCs w:val="23"/>
              </w:rPr>
              <w:t xml:space="preserve">       </w:t>
            </w:r>
            <w:r w:rsidRPr="007B617A">
              <w:rPr>
                <w:color w:val="auto"/>
                <w:sz w:val="23"/>
                <w:szCs w:val="23"/>
              </w:rPr>
              <w:t xml:space="preserve">42” (Ground Floor) </w:t>
            </w:r>
          </w:p>
          <w:p w14:paraId="0BF54820" w14:textId="48743F6B" w:rsidR="00E1002B" w:rsidRPr="007B617A" w:rsidRDefault="007B617A" w:rsidP="007B617A">
            <w:pPr>
              <w:pStyle w:val="Default"/>
              <w:rPr>
                <w:color w:val="auto"/>
                <w:sz w:val="23"/>
                <w:szCs w:val="23"/>
              </w:rPr>
            </w:pPr>
            <w:r w:rsidRPr="007B617A">
              <w:rPr>
                <w:color w:val="auto"/>
                <w:sz w:val="23"/>
                <w:szCs w:val="23"/>
              </w:rPr>
              <w:t xml:space="preserve">                           </w:t>
            </w:r>
            <w:r>
              <w:rPr>
                <w:color w:val="auto"/>
                <w:sz w:val="23"/>
                <w:szCs w:val="23"/>
              </w:rPr>
              <w:t xml:space="preserve">                               </w:t>
            </w:r>
            <w:r w:rsidR="0033500E">
              <w:rPr>
                <w:color w:val="auto"/>
                <w:sz w:val="23"/>
                <w:szCs w:val="23"/>
              </w:rPr>
              <w:t xml:space="preserve">       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7B617A">
              <w:rPr>
                <w:color w:val="auto"/>
                <w:sz w:val="23"/>
                <w:szCs w:val="23"/>
              </w:rPr>
              <w:t>54” (Floors 2-34)</w:t>
            </w:r>
          </w:p>
          <w:p w14:paraId="5BDCAA3F" w14:textId="77777777" w:rsidR="00E1002B" w:rsidRPr="00F62CE4" w:rsidRDefault="00E1002B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BF7A1" w14:textId="7E7BD51D" w:rsidR="00E1002B" w:rsidRPr="00F62CE4" w:rsidRDefault="002F544E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Forty-Five Fremont LLC</w:t>
            </w:r>
          </w:p>
          <w:p w14:paraId="5D57866C" w14:textId="522A7D79" w:rsidR="00E1002B" w:rsidRPr="00F62CE4" w:rsidRDefault="002F544E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45 Fremont Street, Suite 310</w:t>
            </w:r>
          </w:p>
          <w:p w14:paraId="01CCBA27" w14:textId="4B992C4A" w:rsidR="00E1002B" w:rsidRPr="00F62CE4" w:rsidRDefault="002F544E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San Francisco, Ca 94105</w:t>
            </w:r>
          </w:p>
          <w:p w14:paraId="260E0BBD" w14:textId="7BF7059C" w:rsidR="00E1002B" w:rsidRPr="00F62CE4" w:rsidRDefault="002F544E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415-512-1080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F8585" w14:textId="77777777" w:rsidR="005526F0" w:rsidRDefault="005526F0">
      <w:pPr>
        <w:spacing w:after="0" w:line="240" w:lineRule="auto"/>
      </w:pPr>
      <w:r>
        <w:separator/>
      </w:r>
    </w:p>
  </w:endnote>
  <w:endnote w:type="continuationSeparator" w:id="0">
    <w:p w14:paraId="33DF0170" w14:textId="77777777" w:rsidR="005526F0" w:rsidRDefault="0055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2C9B590C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BF32F1" w:rsidRPr="00BF32F1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A7A5C" w14:textId="77777777" w:rsidR="005526F0" w:rsidRDefault="005526F0">
      <w:pPr>
        <w:spacing w:after="0" w:line="240" w:lineRule="auto"/>
      </w:pPr>
      <w:r>
        <w:separator/>
      </w:r>
    </w:p>
  </w:footnote>
  <w:footnote w:type="continuationSeparator" w:id="0">
    <w:p w14:paraId="3D1FAB2E" w14:textId="77777777" w:rsidR="005526F0" w:rsidRDefault="0055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5526F0">
    <w:pPr>
      <w:pStyle w:val="Header"/>
    </w:pPr>
  </w:p>
  <w:p w14:paraId="52C41256" w14:textId="77777777" w:rsidR="00AF5F3A" w:rsidRDefault="005526F0">
    <w:pPr>
      <w:pStyle w:val="Header"/>
    </w:pPr>
  </w:p>
  <w:p w14:paraId="47005AB6" w14:textId="77777777" w:rsidR="00AF5F3A" w:rsidRDefault="00552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D57"/>
    <w:multiLevelType w:val="hybridMultilevel"/>
    <w:tmpl w:val="83501E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2DFD"/>
    <w:multiLevelType w:val="hybridMultilevel"/>
    <w:tmpl w:val="35F0A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8"/>
    <w:rsid w:val="00017B2D"/>
    <w:rsid w:val="00027570"/>
    <w:rsid w:val="00067AAC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263FB"/>
    <w:rsid w:val="00237F49"/>
    <w:rsid w:val="002420DE"/>
    <w:rsid w:val="0028406E"/>
    <w:rsid w:val="0028455E"/>
    <w:rsid w:val="002A54AB"/>
    <w:rsid w:val="002E014C"/>
    <w:rsid w:val="002F544E"/>
    <w:rsid w:val="002F7859"/>
    <w:rsid w:val="0033500E"/>
    <w:rsid w:val="00356B53"/>
    <w:rsid w:val="003640E2"/>
    <w:rsid w:val="00380016"/>
    <w:rsid w:val="00394F3E"/>
    <w:rsid w:val="003B1B53"/>
    <w:rsid w:val="003B3743"/>
    <w:rsid w:val="00435C92"/>
    <w:rsid w:val="0043738E"/>
    <w:rsid w:val="00442F10"/>
    <w:rsid w:val="0046720C"/>
    <w:rsid w:val="004C56D4"/>
    <w:rsid w:val="004D3ECC"/>
    <w:rsid w:val="005130A0"/>
    <w:rsid w:val="00523E6B"/>
    <w:rsid w:val="005526F0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86327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7B617A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712DF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77C26"/>
    <w:rsid w:val="00B844DD"/>
    <w:rsid w:val="00B8538D"/>
    <w:rsid w:val="00B85A9C"/>
    <w:rsid w:val="00BC1862"/>
    <w:rsid w:val="00BF32F1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E7614"/>
    <w:rsid w:val="00DF1223"/>
    <w:rsid w:val="00DF2EAA"/>
    <w:rsid w:val="00DF6834"/>
    <w:rsid w:val="00E1002B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paragraph" w:customStyle="1" w:styleId="Default">
    <w:name w:val="Default"/>
    <w:rsid w:val="007B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Xochilt Villafana</cp:lastModifiedBy>
  <cp:revision>9</cp:revision>
  <dcterms:created xsi:type="dcterms:W3CDTF">2020-01-17T18:47:00Z</dcterms:created>
  <dcterms:modified xsi:type="dcterms:W3CDTF">2020-01-17T19:56:00Z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